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15" w:rsidRDefault="00ED2115" w:rsidP="00ED2115">
      <w:pPr>
        <w:spacing w:after="0" w:line="240" w:lineRule="auto"/>
        <w:rPr>
          <w:rFonts w:ascii="ArialMT" w:eastAsia="Times New Roman" w:hAnsi="ArialMT" w:cs="Times New Roman"/>
          <w:color w:val="000000"/>
          <w:lang w:eastAsia="es-ES"/>
        </w:rPr>
      </w:pPr>
      <w:r w:rsidRPr="00ED2115">
        <w:rPr>
          <w:rFonts w:ascii="ArialMT" w:eastAsia="Times New Roman" w:hAnsi="ArialMT" w:cs="Times New Roman"/>
          <w:color w:val="000000"/>
          <w:lang w:eastAsia="es-ES"/>
        </w:rPr>
        <w:t>Pamplona, 14 de diciembre de 2018</w:t>
      </w:r>
    </w:p>
    <w:p w:rsidR="008E56BE" w:rsidRDefault="008E56BE" w:rsidP="00E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65DB" w:rsidRDefault="00F965DB" w:rsidP="008E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8E56BE" w:rsidRPr="008E56BE" w:rsidRDefault="008E56BE" w:rsidP="008E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8E56B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Comunicado del Departamento de Desarrollo Económico</w:t>
      </w:r>
    </w:p>
    <w:p w:rsidR="008E56BE" w:rsidRDefault="008E56BE" w:rsidP="008E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8E56B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Sección de Registro de Empresas y Seguridad Industrial</w:t>
      </w:r>
    </w:p>
    <w:p w:rsidR="008E56BE" w:rsidRPr="00ED2115" w:rsidRDefault="008E56BE" w:rsidP="008E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D2115" w:rsidRDefault="00ED2115" w:rsidP="00ED2115">
      <w:pPr>
        <w:rPr>
          <w:rFonts w:ascii="ArialMT" w:eastAsia="Times New Roman" w:hAnsi="ArialMT" w:cs="Times New Roman"/>
          <w:color w:val="000000"/>
          <w:lang w:eastAsia="es-ES"/>
        </w:rPr>
      </w:pPr>
      <w:r w:rsidRPr="00ED2115">
        <w:rPr>
          <w:rFonts w:ascii="Arial-ItalicMT" w:eastAsia="Times New Roman" w:hAnsi="Arial-ItalicMT" w:cs="Times New Roman"/>
          <w:i/>
          <w:iCs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t>Dentro de las actuaciones a realizar por la estación ITV se encuentra la realización de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8E56BE">
        <w:rPr>
          <w:rFonts w:ascii="ArialMT" w:eastAsia="Times New Roman" w:hAnsi="ArialMT" w:cs="Times New Roman"/>
          <w:b/>
          <w:color w:val="000000"/>
          <w:u w:val="single"/>
          <w:lang w:eastAsia="es-ES"/>
        </w:rPr>
        <w:t>inspecciones periódicas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mediante unidades móviles en las diferentes localidades. Estas unidades están destinadas a aquellos vehículos que no pueden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desplazarse a una estación fija por las vías comunes existentes, bien porque requieren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un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medio adicional para su transporte bien porque no tienen autorización para circular por la vía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hasta la estación ITV más cercana.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  <w:t>La realización de las inspecciones a través de las unidades móviles no difieren en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  <w:t>cuanto a los procedimientos y realización de pruebas requeridas según el manual de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  <w:t>inspección vigente, de hecho, han de ser iguales que los que se realizan en una estación fija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con la salvedad de que los equipos utilizados son móviles y los emplazamientos los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facilitados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F965DB">
        <w:rPr>
          <w:rFonts w:ascii="ArialMT" w:eastAsia="Times New Roman" w:hAnsi="ArialMT" w:cs="Times New Roman"/>
          <w:color w:val="000000"/>
          <w:lang w:eastAsia="es-ES"/>
        </w:rPr>
        <w:t>por las</w:t>
      </w:r>
      <w:r w:rsidRPr="008E56BE">
        <w:rPr>
          <w:rFonts w:ascii="ArialMT" w:eastAsia="Times New Roman" w:hAnsi="ArialMT" w:cs="Times New Roman"/>
          <w:b/>
          <w:color w:val="000000"/>
          <w:u w:val="single"/>
          <w:lang w:eastAsia="es-ES"/>
        </w:rPr>
        <w:t xml:space="preserve"> entidades locales que han solicitado su servicio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. </w:t>
      </w:r>
    </w:p>
    <w:p w:rsidR="00ED2115" w:rsidRDefault="00ED2115" w:rsidP="00ED2115">
      <w:pPr>
        <w:rPr>
          <w:rFonts w:ascii="ArialMT" w:eastAsia="Times New Roman" w:hAnsi="ArialMT" w:cs="Times New Roman"/>
          <w:color w:val="000000"/>
          <w:lang w:eastAsia="es-ES"/>
        </w:rPr>
      </w:pPr>
      <w:r w:rsidRPr="00ED2115">
        <w:rPr>
          <w:rFonts w:ascii="ArialMT" w:eastAsia="Times New Roman" w:hAnsi="ArialMT" w:cs="Times New Roman"/>
          <w:color w:val="000000"/>
          <w:lang w:eastAsia="es-ES"/>
        </w:rPr>
        <w:t>Es por eso que para adecuarse al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nuevo marco reglamentario es preciso establecer una serie de pautas para el desarrollo de su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actividad de cara a garantizar la correcta realización de las inspecciones: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SymbolMT" w:eastAsia="Times New Roman" w:hAnsi="SymbolMT" w:cs="Times New Roman"/>
          <w:color w:val="000000"/>
          <w:lang w:eastAsia="es-ES"/>
        </w:rPr>
        <w:sym w:font="Symbol" w:char="F0B7"/>
      </w:r>
      <w:r w:rsidRPr="00ED2115">
        <w:rPr>
          <w:rFonts w:ascii="SymbolMT" w:eastAsia="Times New Roman" w:hAnsi="Symbo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Campo de actuación unidades móviles: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Vehículos agrícolas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Vehículos de obras y servicios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Ciclomotores L1e</w:t>
      </w:r>
    </w:p>
    <w:p w:rsidR="00ED2115" w:rsidRPr="00F965DB" w:rsidRDefault="00ED2115" w:rsidP="00ED2115">
      <w:pPr>
        <w:rPr>
          <w:rFonts w:ascii="ArialMT" w:eastAsia="Times New Roman" w:hAnsi="ArialMT" w:cs="Times New Roman"/>
          <w:color w:val="000000"/>
          <w:sz w:val="24"/>
          <w:szCs w:val="24"/>
          <w:lang w:eastAsia="es-ES"/>
        </w:rPr>
      </w:pP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F965DB">
        <w:rPr>
          <w:rFonts w:ascii="SymbolMT" w:eastAsia="Times New Roman" w:hAnsi="SymbolMT" w:cs="Times New Roman"/>
          <w:b/>
          <w:color w:val="000000"/>
          <w:sz w:val="24"/>
          <w:szCs w:val="24"/>
          <w:u w:val="single"/>
          <w:lang w:eastAsia="es-ES"/>
        </w:rPr>
        <w:sym w:font="Symbol" w:char="F0B7"/>
      </w:r>
      <w:r w:rsidRPr="00F965DB">
        <w:rPr>
          <w:rFonts w:ascii="SymbolMT" w:eastAsia="Times New Roman" w:hAnsi="SymbolMT" w:cs="Times New Roman"/>
          <w:b/>
          <w:color w:val="000000"/>
          <w:sz w:val="24"/>
          <w:szCs w:val="24"/>
          <w:u w:val="single"/>
          <w:lang w:eastAsia="es-ES"/>
        </w:rPr>
        <w:t xml:space="preserve"> </w:t>
      </w:r>
      <w:r w:rsidRPr="00F965DB">
        <w:rPr>
          <w:rFonts w:ascii="ArialMT" w:eastAsia="Times New Roman" w:hAnsi="ArialMT" w:cs="Times New Roman"/>
          <w:b/>
          <w:color w:val="000000"/>
          <w:sz w:val="24"/>
          <w:szCs w:val="24"/>
          <w:u w:val="single"/>
          <w:lang w:eastAsia="es-ES"/>
        </w:rPr>
        <w:t>Emplazamientos</w:t>
      </w:r>
      <w:r w:rsidRPr="00F965DB">
        <w:rPr>
          <w:rFonts w:ascii="ArialMT" w:eastAsia="Times New Roman" w:hAnsi="ArialMT" w:cs="Times New Roman"/>
          <w:color w:val="000000"/>
          <w:sz w:val="24"/>
          <w:szCs w:val="24"/>
          <w:lang w:eastAsia="es-ES"/>
        </w:rPr>
        <w:t>:</w:t>
      </w:r>
    </w:p>
    <w:p w:rsidR="00787D28" w:rsidRDefault="00ED2115" w:rsidP="00ED2115"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Los lugares destinados para la realización de las inspecciones deben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tener espacio suficiente para poder permitir la existencia de más de 4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vehículos en espera sin que ello interfiera en las vías de circulación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cercanas al mismo.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Así mismo se deberán establecer en un entorno que no altere la prueba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para la medición de ruido a realizar en los ciclomotores. En especial se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cumplirá la condición de disponer de una parcela llana, con 3m de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distancia mínima desde cualquier punto de la moto al obstáculo más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cercano y desde luego lejos o en zonas con poca contaminación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acústica.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CourierNewPSMT" w:eastAsia="Times New Roman" w:hAnsi="CourierNewPSMT" w:cs="Times New Roman"/>
          <w:color w:val="000000"/>
          <w:lang w:eastAsia="es-ES"/>
        </w:rPr>
        <w:t xml:space="preserve">o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Antes del desplazamiento de la unidad móvil se debe tener, por parte de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  <w:t>la entidad local que solicita el servicio, la localización exacta del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emplazamiento con la garantía de que se cumplen los dos puntos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 xml:space="preserve"> 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t>anteriores</w:t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  <w:r w:rsidRPr="00ED2115">
        <w:rPr>
          <w:rFonts w:ascii="ArialMT" w:eastAsia="Times New Roman" w:hAnsi="ArialMT" w:cs="Times New Roman"/>
          <w:color w:val="000000"/>
          <w:lang w:eastAsia="es-ES"/>
        </w:rPr>
        <w:br/>
      </w:r>
    </w:p>
    <w:p w:rsidR="00ED2115" w:rsidRDefault="00ED2115"/>
    <w:sectPr w:rsidR="00ED2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5"/>
    <w:rsid w:val="002220EF"/>
    <w:rsid w:val="00787D28"/>
    <w:rsid w:val="007C10B0"/>
    <w:rsid w:val="008E56BE"/>
    <w:rsid w:val="00E03EDD"/>
    <w:rsid w:val="00ED2115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BD1"/>
  <w15:chartTrackingRefBased/>
  <w15:docId w15:val="{CDF5784B-C336-4D20-8B6E-0B642CCC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1</cp:revision>
  <cp:lastPrinted>2018-12-28T08:29:00Z</cp:lastPrinted>
  <dcterms:created xsi:type="dcterms:W3CDTF">2018-12-28T08:22:00Z</dcterms:created>
  <dcterms:modified xsi:type="dcterms:W3CDTF">2018-12-28T09:44:00Z</dcterms:modified>
</cp:coreProperties>
</file>